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3A662D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9422A7">
        <w:rPr>
          <w:rFonts w:ascii="Times New Roman" w:hAnsi="Times New Roman" w:cs="Times New Roman"/>
          <w:lang w:val="sr-Latn-RS"/>
        </w:rPr>
        <w:t>Prema Regulativi (EC) br. 1907/2006)</w:t>
      </w:r>
      <w:r w:rsidRPr="003A662D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167030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A17F0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CAROPHYLL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RED 10%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BA07AB">
              <w:rPr>
                <w:rFonts w:ascii="Times-New-Roman" w:hAnsi="Times-New-Roman" w:cs="Times-New-Roman"/>
                <w:lang w:val="de-DE"/>
              </w:rPr>
              <w:t>u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167030">
        <w:trPr>
          <w:trHeight w:val="142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167030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167030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167030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167030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167030" w:rsidRDefault="00A3582C" w:rsidP="001670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167030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167030">
              <w:rPr>
                <w:rFonts w:ascii="Times New Roman" w:eastAsia="Times New Roman" w:hAnsi="Times New Roman" w:cs="Times New Roman"/>
              </w:rPr>
              <w:t xml:space="preserve"> </w:t>
            </w:r>
            <w:r w:rsidR="00167030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167030">
              <w:rPr>
                <w:rFonts w:ascii="Times New Roman" w:eastAsia="Times New Roman" w:hAnsi="Times New Roman" w:cs="Times New Roman"/>
              </w:rPr>
              <w:t>atovljev</w:t>
            </w:r>
            <w:r w:rsidR="00167030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167030" w:rsidP="001670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DC3308" w:rsidRDefault="00DC3308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A07AB" w:rsidRPr="009F787D" w:rsidRDefault="00A17F06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EC direktivama 67/548/EEC ili 1999/45/EC proizvod (supstanca i smeša) nije klasifikovan kao opasan.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A17F06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D3F85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AA2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</w:t>
            </w:r>
            <w:r w:rsidR="00AA2E14">
              <w:rPr>
                <w:rFonts w:ascii="Times-New-Roman" w:hAnsi="Times-New-Roman" w:cs="Times-New-Roman"/>
                <w:b/>
                <w:i/>
              </w:rPr>
              <w:t>e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8B2A29" w:rsidP="00A153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mešavina koja sadrži </w:t>
            </w:r>
            <w:r w:rsidR="00A17F06">
              <w:rPr>
                <w:rFonts w:ascii="Times New Roman" w:hAnsi="Times New Roman" w:cs="Times New Roman"/>
                <w:bCs/>
                <w:lang w:val="sr-Latn-RS"/>
              </w:rPr>
              <w:t xml:space="preserve">aktivne sastojke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8558C9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4851FC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</w:t>
            </w:r>
            <w:r w:rsidR="00F4586F">
              <w:rPr>
                <w:rFonts w:ascii="Times-New-Roman" w:hAnsi="Times-New-Roman" w:cs="Times-New-Roman"/>
                <w:b/>
              </w:rPr>
              <w:t>omponent</w:t>
            </w:r>
            <w:r>
              <w:rPr>
                <w:rFonts w:ascii="Times-New-Roman" w:hAnsi="Times-New-Roman" w:cs="Times-New-Roman"/>
                <w:b/>
              </w:rPr>
              <w:t>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9F787D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BA07AB" w:rsidTr="00BA07A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7F06" w:rsidP="00A153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canthaxanthin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7F06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514-78-3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7F06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208-187-2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7F06" w:rsidP="00A153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R52-R53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A17F06" w:rsidP="00A1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10- &lt; </w:t>
            </w: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</w:tr>
      <w:tr w:rsidR="00BA07AB" w:rsidTr="00BA07A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5368" w:rsidP="00A153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ethoxyquin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5368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91-53-2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5368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202-075-7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A15368" w:rsidP="00A1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Xn;R22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A15368" w:rsidP="00A1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BA07AB" w:rsidTr="009F787D">
        <w:trPr>
          <w:trHeight w:val="70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A1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8558C9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A15368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A15368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izaziva opasnost koja zahteva posebne mere prve pomoći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Ukloniti kontaktna sočiva. Zaštiti nepovređeno oko. Držati oko širom otvoreno u toku ispiranja. </w:t>
            </w:r>
          </w:p>
        </w:tc>
      </w:tr>
      <w:tr w:rsidR="00BA07AB" w:rsidTr="002739FC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BC048F" w:rsidRDefault="00BC048F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048F" w:rsidRDefault="00BC048F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A17F06">
        <w:rPr>
          <w:rFonts w:ascii="Times New Roman" w:hAnsi="Times New Roman" w:cs="Times New Roman"/>
          <w:i/>
          <w:sz w:val="20"/>
          <w:szCs w:val="20"/>
          <w:lang w:val="sr-Latn-RS"/>
        </w:rPr>
        <w:t>Carophyll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®</w:t>
      </w:r>
      <w:r w:rsidR="00A17F06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Red 10%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D7EC8" w:rsidRPr="002C21D4" w:rsidRDefault="00AD7EC8" w:rsidP="00AD7E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8B2A29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D7EC8" w:rsidRDefault="00AD7EC8" w:rsidP="00AD7E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</w:t>
            </w:r>
            <w:r w:rsidR="00A15368">
              <w:rPr>
                <w:rFonts w:ascii="Times-New-Roman" w:hAnsi="Times-New-Roman" w:cs="Times-New-Roman"/>
              </w:rPr>
              <w:t xml:space="preserve"> formiranje</w:t>
            </w:r>
            <w:r>
              <w:rPr>
                <w:rFonts w:ascii="Times-New-Roman" w:hAnsi="Times-New-Roman" w:cs="Times-New-Roman"/>
              </w:rPr>
              <w:t xml:space="preserve"> prašin</w:t>
            </w:r>
            <w:r w:rsidR="00A15368">
              <w:rPr>
                <w:rFonts w:ascii="Times-New-Roman" w:hAnsi="Times-New-Roman" w:cs="Times-New-Roman"/>
              </w:rPr>
              <w:t>e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Počistiti</w:t>
            </w:r>
            <w:r w:rsidR="00A15368">
              <w:rPr>
                <w:rFonts w:ascii="Times-New-Roman" w:hAnsi="Times-New-Roman" w:cs="Times-New-Roman"/>
              </w:rPr>
              <w:t xml:space="preserve"> lopatom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A15368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8. Nikakve posebne mere opreza nisu neophodne.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0C2A0F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BC048F" w:rsidP="00BC0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</w:t>
            </w:r>
            <w:r w:rsidR="00A15368">
              <w:rPr>
                <w:rFonts w:ascii="Times-New-Roman" w:hAnsi="Times-New-Roman" w:cs="Times-New-Roman"/>
              </w:rPr>
              <w:t xml:space="preserve">svetla i </w:t>
            </w:r>
            <w:r>
              <w:rPr>
                <w:rFonts w:ascii="Times-New-Roman" w:hAnsi="Times-New-Roman" w:cs="Times-New-Roman"/>
              </w:rPr>
              <w:t>vlage.</w:t>
            </w: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6E31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A153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A15368">
              <w:rPr>
                <w:rFonts w:ascii="Times-New-Roman,Bold" w:hAnsi="Times-New-Roman,Bold" w:cs="Times-New-Roman,Bold"/>
                <w:bCs/>
              </w:rPr>
              <w:t xml:space="preserve">Ne postoje nikakve posebne zabrane što se tiče skladištenja sa ostalim </w:t>
            </w:r>
            <w:r w:rsidR="006E315F">
              <w:rPr>
                <w:rFonts w:ascii="Times-New-Roman,Bold" w:hAnsi="Times-New-Roman,Bold" w:cs="Times-New-Roman,Bold"/>
                <w:bCs/>
              </w:rPr>
              <w:t>proizvodima</w:t>
            </w:r>
            <w:r w:rsidR="00A15368">
              <w:rPr>
                <w:rFonts w:ascii="Times-New-Roman,Bold" w:hAnsi="Times-New-Roman,Bold" w:cs="Times-New-Roman,Bold"/>
                <w:bCs/>
              </w:rPr>
              <w:t>. Ne dolazi do raspada ukoliko se skladišti i primenjuje kako je naznačeno.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C2B9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61F1C" w:rsidRDefault="00161F1C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61F1C" w:rsidRDefault="00161F1C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61F1C" w:rsidRDefault="00161F1C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Carophyll® Red 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C2B94" w:rsidRDefault="00EC2B94" w:rsidP="00EC2B9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318"/>
        <w:gridCol w:w="2026"/>
        <w:gridCol w:w="314"/>
        <w:gridCol w:w="1202"/>
        <w:gridCol w:w="1901"/>
        <w:gridCol w:w="1399"/>
        <w:gridCol w:w="1813"/>
      </w:tblGrid>
      <w:tr w:rsidR="00F63302" w:rsidTr="00EC2B94">
        <w:trPr>
          <w:trHeight w:val="465"/>
          <w:jc w:val="center"/>
        </w:trPr>
        <w:tc>
          <w:tcPr>
            <w:tcW w:w="110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243877">
        <w:trPr>
          <w:trHeight w:val="465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0F1483">
        <w:trPr>
          <w:trHeight w:val="50"/>
          <w:jc w:val="center"/>
        </w:trPr>
        <w:tc>
          <w:tcPr>
            <w:tcW w:w="203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22A7" w:rsidRDefault="00EC2B94" w:rsidP="0007476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9422A7">
              <w:rPr>
                <w:rFonts w:ascii="Times-New-Roman,Bold" w:hAnsi="Times-New-Roman,Bold" w:cs="Times-New-Roman,Bold"/>
                <w:bCs/>
              </w:rPr>
              <w:t>Komponenta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9422A7" w:rsidRDefault="00EC2B94" w:rsidP="0007476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9422A7">
              <w:rPr>
                <w:rFonts w:ascii="Times-New-Roman,Bold" w:hAnsi="Times-New-Roman,Bold" w:cs="Times-New-Roman,Bold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Vrednost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Parametar kontrole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DF5215" w:rsidRDefault="00DF5215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DF5215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07476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Osnova</w:t>
            </w:r>
          </w:p>
        </w:tc>
      </w:tr>
      <w:tr w:rsidR="00BC048F" w:rsidRPr="00A4469C" w:rsidTr="000F1483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C048F" w:rsidRDefault="00BC048F" w:rsidP="00A17F0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skrob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Default="00BC048F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9005-25-8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A4469C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9A5CF9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10 mg/m</w:t>
            </w:r>
            <w:r>
              <w:rPr>
                <w:rFonts w:ascii="Times-New-Roman" w:hAnsi="Times-New-Roman" w:cs="Times-New-Roman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9A5CF9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2005-04-06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C048F" w:rsidRPr="00A4469C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GB EH40</w:t>
            </w:r>
          </w:p>
        </w:tc>
      </w:tr>
      <w:tr w:rsidR="00EC2B94" w:rsidRPr="00147F3F" w:rsidTr="00BC048F">
        <w:trPr>
          <w:trHeight w:val="1088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BE548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E548F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BE548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61F1C" w:rsidRPr="00BE548F" w:rsidRDefault="00161F1C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>1</w:t>
            </w:r>
            <w:r w:rsidR="00EC2B94" w:rsidRPr="00BE548F">
              <w:rPr>
                <w:rFonts w:ascii="Times New Roman" w:hAnsi="Times New Roman" w:cs="Times New Roman"/>
              </w:rPr>
              <w:t xml:space="preserve">: </w:t>
            </w:r>
            <w:r w:rsidRPr="00BE548F">
              <w:rPr>
                <w:rFonts w:ascii="Times New Roman" w:hAnsi="Times New Roman" w:cs="Times New Roman"/>
              </w:rPr>
              <w:t xml:space="preserve">U cilju određivanja ovih granica, respiratorna prašina i prašina koja se može udahnuti su one frakcije prašine koje se mogu uzorkovati prema metodi opisanoj u MDHS14/3.Opšte metode za uzorkovanje i gravimetrijsku </w:t>
            </w:r>
            <w:proofErr w:type="gramStart"/>
            <w:r w:rsidRPr="00BE548F">
              <w:rPr>
                <w:rFonts w:ascii="Times New Roman" w:hAnsi="Times New Roman" w:cs="Times New Roman"/>
              </w:rPr>
              <w:t>analizu  ove</w:t>
            </w:r>
            <w:proofErr w:type="gramEnd"/>
            <w:r w:rsidRPr="00BE548F">
              <w:rPr>
                <w:rFonts w:ascii="Times New Roman" w:hAnsi="Times New Roman" w:cs="Times New Roman"/>
              </w:rPr>
              <w:t xml:space="preserve"> prašine su u skladu sa ISO-CEN konvencijom. </w:t>
            </w:r>
          </w:p>
          <w:p w:rsidR="00EC2B94" w:rsidRPr="00BE548F" w:rsidRDefault="00EC2B94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>Po COSHH definiciji u supstance opasne po zdravlje ubraja se svaka prašina koja je u vazduhu prosutna u koncentraciji ≥ 10 mg/m</w:t>
            </w:r>
            <w:r w:rsidRPr="00BE54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BE548F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BE54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BE548F">
              <w:rPr>
                <w:rFonts w:ascii="Times New Roman" w:hAnsi="Times New Roman" w:cs="Times New Roman"/>
              </w:rPr>
              <w:t xml:space="preserve"> u toku 8 sati respiratorne prašine. Ovo znači da će svaka prašina biti predmet </w:t>
            </w:r>
            <w:proofErr w:type="gramStart"/>
            <w:r w:rsidRPr="00BE548F">
              <w:rPr>
                <w:rFonts w:ascii="Times New Roman" w:hAnsi="Times New Roman" w:cs="Times New Roman"/>
              </w:rPr>
              <w:t>COSHH</w:t>
            </w:r>
            <w:r w:rsidR="00794C90" w:rsidRPr="00BE548F">
              <w:rPr>
                <w:rFonts w:ascii="Times New Roman" w:hAnsi="Times New Roman" w:cs="Times New Roman"/>
              </w:rPr>
              <w:t>(</w:t>
            </w:r>
            <w:proofErr w:type="gramEnd"/>
            <w:r w:rsidR="00794C90" w:rsidRPr="00BE548F">
              <w:rPr>
                <w:rFonts w:ascii="Times New Roman" w:hAnsi="Times New Roman" w:cs="Times New Roman"/>
              </w:rPr>
              <w:t>CONTROL OF SUBSTANCES HAZARDOUS TO HEALTH)</w:t>
            </w:r>
            <w:r w:rsidRPr="00BE548F">
              <w:rPr>
                <w:rFonts w:ascii="Times New Roman" w:hAnsi="Times New Roman" w:cs="Times New Roman"/>
              </w:rPr>
              <w:t xml:space="preserve">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624978">
              <w:rPr>
                <w:rFonts w:ascii="Times New Roman" w:hAnsi="Times New Roman" w:cs="Times New Roman"/>
              </w:rPr>
              <w:t>ako je</w:t>
            </w:r>
            <w:r w:rsidRPr="00BE548F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  <w:p w:rsidR="00524B27" w:rsidRPr="00BE548F" w:rsidRDefault="00161F1C" w:rsidP="00524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>Ve</w:t>
            </w:r>
            <w:r w:rsidR="00BE548F">
              <w:rPr>
                <w:rFonts w:ascii="Times New Roman" w:hAnsi="Times New Roman" w:cs="Times New Roman"/>
              </w:rPr>
              <w:t>ć</w:t>
            </w:r>
            <w:r w:rsidRPr="00BE548F">
              <w:rPr>
                <w:rFonts w:ascii="Times New Roman" w:hAnsi="Times New Roman" w:cs="Times New Roman"/>
              </w:rPr>
              <w:t xml:space="preserve">ina industrijske prašine sadrži čestice širokog raspona veličina. Ponašanje, deponovanje i sudbina svake čestice kada dospe u ljudski respiratorni sistem i telo </w:t>
            </w:r>
            <w:r w:rsidR="00524B27" w:rsidRPr="00BE548F">
              <w:rPr>
                <w:rFonts w:ascii="Times New Roman" w:hAnsi="Times New Roman" w:cs="Times New Roman"/>
              </w:rPr>
              <w:t xml:space="preserve">i </w:t>
            </w:r>
            <w:r w:rsidRPr="00BE548F">
              <w:rPr>
                <w:rFonts w:ascii="Times New Roman" w:hAnsi="Times New Roman" w:cs="Times New Roman"/>
              </w:rPr>
              <w:t xml:space="preserve">reakciju koju uzrokuje zavisi od svojstva i veličine čestica. HSE razdvaja dve veličine frakcija da bi se odredile granice </w:t>
            </w:r>
            <w:r w:rsidR="00524B27" w:rsidRPr="00BE548F">
              <w:rPr>
                <w:rFonts w:ascii="Times New Roman" w:hAnsi="Times New Roman" w:cs="Times New Roman"/>
              </w:rPr>
              <w:t>za</w:t>
            </w:r>
            <w:r w:rsidRPr="00BE548F">
              <w:rPr>
                <w:rFonts w:ascii="Times New Roman" w:hAnsi="Times New Roman" w:cs="Times New Roman"/>
              </w:rPr>
              <w:t xml:space="preserve"> udisn</w:t>
            </w:r>
            <w:r w:rsidR="00524B27" w:rsidRPr="00BE548F">
              <w:rPr>
                <w:rFonts w:ascii="Times New Roman" w:hAnsi="Times New Roman" w:cs="Times New Roman"/>
              </w:rPr>
              <w:t>u</w:t>
            </w:r>
            <w:r w:rsidRPr="00BE548F">
              <w:rPr>
                <w:rFonts w:ascii="Times New Roman" w:hAnsi="Times New Roman" w:cs="Times New Roman"/>
              </w:rPr>
              <w:t xml:space="preserve"> prašina i respiratorn</w:t>
            </w:r>
            <w:r w:rsidR="00524B27" w:rsidRPr="00BE548F">
              <w:rPr>
                <w:rFonts w:ascii="Times New Roman" w:hAnsi="Times New Roman" w:cs="Times New Roman"/>
              </w:rPr>
              <w:t xml:space="preserve">u prašinu. </w:t>
            </w:r>
          </w:p>
          <w:p w:rsidR="00161F1C" w:rsidRPr="00BE548F" w:rsidRDefault="00524B27" w:rsidP="00524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 xml:space="preserve">Udisna prašina se odnosi na vazdušni materijal koji dospeva u nos i usta prilikom disanja is toga je dostupan za taloženje u respiratornom traktu. </w:t>
            </w:r>
          </w:p>
          <w:p w:rsidR="00524B27" w:rsidRPr="00BE548F" w:rsidRDefault="00524B27" w:rsidP="00524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 xml:space="preserve">Respiratorna prašina se odnosi na frakcije koje dospevaju do dela pluća gde se odvija razmena gasova. Potpunije definicije i pojašnjenja se mogu naći u MDHS 14/3. Kada prašina sadrži komponente koje već imaju dodeljene granice izloženosti na random mestu, sva relevantna ograničenja treba da budu u saglasnosti. </w:t>
            </w:r>
          </w:p>
          <w:p w:rsidR="00524B27" w:rsidRPr="00BE548F" w:rsidRDefault="00524B27" w:rsidP="001674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>Tamo gde nije specificirana granic</w:t>
            </w:r>
            <w:r w:rsidR="00167471" w:rsidRPr="00BE548F">
              <w:rPr>
                <w:rFonts w:ascii="Times New Roman" w:hAnsi="Times New Roman" w:cs="Times New Roman"/>
              </w:rPr>
              <w:t xml:space="preserve">a </w:t>
            </w:r>
            <w:r w:rsidRPr="00BE548F">
              <w:rPr>
                <w:rFonts w:ascii="Times New Roman" w:hAnsi="Times New Roman" w:cs="Times New Roman"/>
              </w:rPr>
              <w:t xml:space="preserve">kratkoročne izloženosti, treba </w:t>
            </w:r>
            <w:r w:rsidR="00167471" w:rsidRPr="00BE548F">
              <w:rPr>
                <w:rFonts w:ascii="Times New Roman" w:hAnsi="Times New Roman" w:cs="Times New Roman"/>
              </w:rPr>
              <w:t>primeniti vrednost granice dobijene množenjem vrednosti granice dugoročne izloženosti sa koeficijentom 3.</w:t>
            </w:r>
          </w:p>
        </w:tc>
      </w:tr>
      <w:tr w:rsidR="00243877" w:rsidRPr="00147F3F" w:rsidTr="000F1483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47F3F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FF000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47F3F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BE548F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BE548F">
              <w:rPr>
                <w:rFonts w:ascii="Times-New-Roman" w:hAnsi="Times-New-Roman" w:cs="Times-New-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BE548F" w:rsidRDefault="00243877" w:rsidP="00EC2B9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BE548F">
              <w:rPr>
                <w:rFonts w:ascii="Times-New-Roman" w:hAnsi="Times-New-Roman" w:cs="Times-New-Roman"/>
              </w:rPr>
              <w:t>4 mg/m</w:t>
            </w:r>
            <w:r w:rsidRPr="00BE548F">
              <w:rPr>
                <w:rFonts w:ascii="Times-New-Roman" w:hAnsi="Times-New-Roman" w:cs="Times-New-Roman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BE548F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BE548F">
              <w:rPr>
                <w:rFonts w:ascii="Times-New-Roman" w:hAnsi="Times-New-Roman" w:cs="Times-New-Roman"/>
              </w:rPr>
              <w:t>2005-04-06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43877" w:rsidRPr="00BE548F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BE548F">
              <w:rPr>
                <w:rFonts w:ascii="Times-New-Roman" w:hAnsi="Times-New-Roman" w:cs="Times-New-Roman"/>
              </w:rPr>
              <w:t>GB EH40</w:t>
            </w:r>
          </w:p>
        </w:tc>
      </w:tr>
      <w:tr w:rsidR="00243877" w:rsidRPr="00147F3F" w:rsidTr="00243877">
        <w:trPr>
          <w:trHeight w:val="70"/>
          <w:jc w:val="center"/>
        </w:trPr>
        <w:tc>
          <w:tcPr>
            <w:tcW w:w="11006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43877" w:rsidRPr="00147F3F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</w:p>
        </w:tc>
      </w:tr>
      <w:tr w:rsidR="00243877" w:rsidRPr="00147F3F" w:rsidTr="000F1483">
        <w:trPr>
          <w:trHeight w:val="70"/>
          <w:jc w:val="center"/>
        </w:trPr>
        <w:tc>
          <w:tcPr>
            <w:tcW w:w="203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9422A7" w:rsidRDefault="00243877" w:rsidP="00794C9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9422A7">
              <w:rPr>
                <w:rFonts w:ascii="Times-New-Roman,Bold" w:hAnsi="Times-New-Roman,Bold" w:cs="Times-New-Roman,Bold"/>
                <w:bCs/>
              </w:rPr>
              <w:t>Komponenta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9422A7" w:rsidRDefault="00243877" w:rsidP="00794C9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9422A7">
              <w:rPr>
                <w:rFonts w:ascii="Times-New-Roman,Bold" w:hAnsi="Times-New-Roman,Bold" w:cs="Times-New-Roman,Bold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A4469C" w:rsidRDefault="00243877" w:rsidP="00794C9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Vrednost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A4469C" w:rsidRDefault="00243877" w:rsidP="00794C9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Parametar kontrole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DF5215" w:rsidRDefault="00DF5215" w:rsidP="00794C9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DF5215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43877" w:rsidRPr="00A4469C" w:rsidRDefault="00243877" w:rsidP="00794C9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Osnova</w:t>
            </w:r>
          </w:p>
        </w:tc>
      </w:tr>
      <w:tr w:rsidR="00243877" w:rsidRPr="00147F3F" w:rsidTr="000F1483">
        <w:trPr>
          <w:trHeight w:val="64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243877" w:rsidRDefault="00243877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43877">
              <w:rPr>
                <w:rFonts w:ascii="Times New Roman" w:hAnsi="Times New Roman" w:cs="Times New Roman"/>
                <w:bCs/>
              </w:rPr>
              <w:t>canthaxanthin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243877" w:rsidRDefault="00243877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43877">
              <w:rPr>
                <w:rFonts w:ascii="Times New Roman" w:hAnsi="Times New Roman" w:cs="Times New Roman"/>
                <w:bCs/>
              </w:rPr>
              <w:t>514-78-3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BE548F" w:rsidRDefault="00243877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BE548F" w:rsidRDefault="00243877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E548F">
              <w:rPr>
                <w:rFonts w:ascii="Times New Roman" w:hAnsi="Times New Roman" w:cs="Times New Roman"/>
              </w:rPr>
              <w:t>1 mg/m</w:t>
            </w:r>
            <w:r w:rsidRPr="00BE54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243877" w:rsidRDefault="00243877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43877" w:rsidRPr="00243877" w:rsidRDefault="000F1483" w:rsidP="000F1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End w:id="0"/>
          </w:p>
        </w:tc>
      </w:tr>
      <w:tr w:rsidR="004C7BA4" w:rsidTr="00243877">
        <w:trPr>
          <w:trHeight w:val="70"/>
          <w:jc w:val="center"/>
        </w:trPr>
        <w:tc>
          <w:tcPr>
            <w:tcW w:w="4691" w:type="dxa"/>
            <w:gridSpan w:val="4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162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BC048F">
        <w:trPr>
          <w:trHeight w:val="70"/>
          <w:jc w:val="center"/>
        </w:trPr>
        <w:tc>
          <w:tcPr>
            <w:tcW w:w="469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AC627F">
        <w:trPr>
          <w:trHeight w:val="465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C7BA4" w:rsidRPr="00A4469C" w:rsidRDefault="00243877" w:rsidP="00C13A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Nikakva posebna oprema za zaštitu respiratornih organa nije neophodn pri normalnim uslovima. U slučaju velike koncentracije prašine </w:t>
            </w:r>
            <w:r w:rsidR="00C13A78">
              <w:rPr>
                <w:rFonts w:ascii="Times-New-Roman" w:hAnsi="Times-New-Roman" w:cs="Times-New-Roman"/>
              </w:rPr>
              <w:t xml:space="preserve">koristiti </w:t>
            </w:r>
            <w:r>
              <w:rPr>
                <w:rFonts w:ascii="Times-New-Roman" w:hAnsi="Times-New-Roman" w:cs="Times-New-Roman"/>
              </w:rPr>
              <w:t>masku primenjivu u datim uslovima.</w:t>
            </w:r>
          </w:p>
        </w:tc>
      </w:tr>
    </w:tbl>
    <w:p w:rsidR="00AC627F" w:rsidRPr="002C21D4" w:rsidRDefault="00AC627F" w:rsidP="00AC62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Carophyll® Red 10%)</w:t>
      </w:r>
    </w:p>
    <w:p w:rsidR="00AC627F" w:rsidRPr="002C21D4" w:rsidRDefault="00AC627F" w:rsidP="00AC627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C627F" w:rsidRDefault="00AC627F" w:rsidP="00AC627F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49"/>
        <w:gridCol w:w="902"/>
        <w:gridCol w:w="5413"/>
      </w:tblGrid>
      <w:tr w:rsidR="004C7BA4" w:rsidTr="00AC627F">
        <w:trPr>
          <w:trHeight w:val="25"/>
          <w:jc w:val="center"/>
        </w:trPr>
        <w:tc>
          <w:tcPr>
            <w:tcW w:w="46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Zaštita ruku:</w:t>
            </w:r>
          </w:p>
        </w:tc>
        <w:tc>
          <w:tcPr>
            <w:tcW w:w="6315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</w:t>
            </w: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9C50E8" w:rsidTr="00BC048F">
        <w:trPr>
          <w:trHeight w:val="465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243877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</w:t>
            </w:r>
            <w:r w:rsidR="009C50E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C50E8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438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Upravljati se u skladu sa principima održavanja higijene i primene bezbednosnih mera na radnom mestu. </w:t>
            </w:r>
          </w:p>
        </w:tc>
      </w:tr>
      <w:tr w:rsidR="009C50E8" w:rsidTr="00BC048F">
        <w:trPr>
          <w:trHeight w:val="70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BC048F">
        <w:trPr>
          <w:trHeight w:val="70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AC62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AC627F">
              <w:rPr>
                <w:rFonts w:ascii="Times-New-Roman" w:hAnsi="Times-New-Roman" w:cs="Times-New-Roman"/>
              </w:rPr>
              <w:t>slobodnih čestica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BC048F">
        <w:trPr>
          <w:trHeight w:val="355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AC627F" w:rsidP="00AC62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Ljubičasto-crvena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AC627F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AC627F">
        <w:trPr>
          <w:trHeight w:val="288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AC627F">
        <w:trPr>
          <w:trHeight w:val="288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AC627F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6228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78133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D12EC">
        <w:trPr>
          <w:trHeight w:val="8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AC627F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</w:tbl>
    <w:p w:rsidR="00AC627F" w:rsidRPr="002C21D4" w:rsidRDefault="00AC627F" w:rsidP="00AC62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Carophyll® Red 10%)</w:t>
      </w:r>
    </w:p>
    <w:p w:rsidR="00AC627F" w:rsidRPr="002C21D4" w:rsidRDefault="00AC627F" w:rsidP="00AC627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C627F" w:rsidRDefault="00AC627F" w:rsidP="00AC627F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51"/>
        <w:gridCol w:w="900"/>
        <w:gridCol w:w="5413"/>
      </w:tblGrid>
      <w:tr w:rsidR="00F92024" w:rsidTr="00AC627F">
        <w:trPr>
          <w:trHeight w:val="20"/>
          <w:jc w:val="center"/>
        </w:trPr>
        <w:tc>
          <w:tcPr>
            <w:tcW w:w="42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228A1" w:rsidRPr="00A4469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Pr="00A4469C" w:rsidRDefault="00AC627F" w:rsidP="00AC62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6228A1">
              <w:rPr>
                <w:rFonts w:ascii="Times-New-Roman" w:hAnsi="Times-New-Roman" w:cs="Times-New-Roman"/>
                <w:lang w:val="de-DE"/>
              </w:rPr>
              <w:t xml:space="preserve"> (2</w:t>
            </w:r>
            <w:r>
              <w:rPr>
                <w:rFonts w:ascii="Times-New-Roman" w:hAnsi="Times-New-Roman" w:cs="Times-New-Roman"/>
                <w:lang w:val="de-DE"/>
              </w:rPr>
              <w:t>1</w:t>
            </w:r>
            <w:r w:rsidR="006228A1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6228A1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Default="00F04722" w:rsidP="00F047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</w:t>
            </w:r>
            <w:r w:rsidR="00AC627F">
              <w:rPr>
                <w:rFonts w:ascii="Times New Roman" w:hAnsi="Times New Roman" w:cs="Times New Roman"/>
                <w:lang w:val="de-DE"/>
              </w:rPr>
              <w:t>a.</w:t>
            </w:r>
            <w:r w:rsidR="006228A1">
              <w:rPr>
                <w:rFonts w:ascii="Times-New-Roman" w:hAnsi="Times-New-Roman" w:cs="Times-New-Roman"/>
                <w:lang w:val="de-DE"/>
              </w:rPr>
              <w:t xml:space="preserve"> 3</w:t>
            </w:r>
            <w:r w:rsidR="00AC627F">
              <w:rPr>
                <w:rFonts w:ascii="Times-New-Roman" w:hAnsi="Times-New-Roman" w:cs="Times-New-Roman"/>
                <w:lang w:val="de-DE"/>
              </w:rPr>
              <w:t>9</w:t>
            </w:r>
            <w:r w:rsidR="006228A1">
              <w:rPr>
                <w:rFonts w:ascii="Times-New-Roman" w:hAnsi="Times-New-Roman" w:cs="Times-New-Roman"/>
                <w:lang w:val="de-DE"/>
              </w:rPr>
              <w:t>0</w:t>
            </w:r>
            <w:r w:rsidR="006228A1" w:rsidRPr="006228A1">
              <w:rPr>
                <w:rFonts w:ascii="Times-New-Roman" w:hAnsi="Times-New-Roman" w:cs="Times-New-Roman"/>
                <w:lang w:val="de-DE"/>
              </w:rPr>
              <w:t>°C (određena u BAM pećnici)</w:t>
            </w:r>
          </w:p>
        </w:tc>
      </w:tr>
      <w:tr w:rsidR="0095276B" w:rsidTr="00AC627F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0943B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Raspada se pri zagrevanju</w:t>
            </w:r>
            <w:r w:rsidR="00AC627F">
              <w:rPr>
                <w:rFonts w:ascii="Times-New-Roman" w:hAnsi="Times-New-Roman" w:cs="Times-New-Roman"/>
                <w:lang w:val="de-DE"/>
              </w:rPr>
              <w:t xml:space="preserve"> u prisustvu vazduha. Prašina može formirati eksplozivnu mešavinu sa vazduhom.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F44D19" w:rsidP="000943B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B37E9">
        <w:trPr>
          <w:trHeight w:val="242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B37E9">
        <w:trPr>
          <w:trHeight w:val="15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AC627F" w:rsidP="00AC62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 xml:space="preserve">Ethoxyquin                                     </w:t>
            </w:r>
            <w:r w:rsidR="00F103C0" w:rsidRPr="00A4469C">
              <w:rPr>
                <w:rFonts w:ascii="Times-New-Roman" w:hAnsi="Times-New-Roman" w:cs="Times-New-Roman"/>
                <w:i/>
              </w:rPr>
              <w:t>Na usta (LD</w:t>
            </w:r>
            <w:r w:rsidR="00F103C0"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="00F103C0"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AC627F" w:rsidP="00AC62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800 mg/kg (pacov)</w:t>
            </w:r>
          </w:p>
        </w:tc>
      </w:tr>
      <w:tr w:rsidR="005252C9" w:rsidTr="006B37E9">
        <w:trPr>
          <w:trHeight w:val="13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07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0943B1">
        <w:trPr>
          <w:trHeight w:val="801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0943B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</w:t>
            </w:r>
            <w:r w:rsidR="000943B1">
              <w:rPr>
                <w:rFonts w:ascii="Times-New-Roman" w:hAnsi="Times-New-Roman" w:cs="Times-New-Roman"/>
                <w:b/>
                <w:i/>
              </w:rPr>
              <w:t xml:space="preserve">              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</w:t>
            </w:r>
            <w:r w:rsidR="000943B1">
              <w:rPr>
                <w:rFonts w:ascii="Times-New-Roman" w:hAnsi="Times-New-Roman" w:cs="Times-New-Roman"/>
                <w:i/>
              </w:rPr>
              <w:t>Ethoxyquin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</w:t>
            </w:r>
            <w:r w:rsidR="003D12EC">
              <w:rPr>
                <w:rFonts w:ascii="Times-New-Roman" w:hAnsi="Times-New-Roman" w:cs="Times-New-Roman"/>
              </w:rPr>
              <w:t xml:space="preserve">zaziva </w:t>
            </w:r>
            <w:r>
              <w:rPr>
                <w:rFonts w:ascii="Times-New-Roman" w:hAnsi="Times-New-Roman" w:cs="Times-New-Roman"/>
              </w:rPr>
              <w:t xml:space="preserve">umerenu </w:t>
            </w:r>
            <w:r w:rsidR="003D12EC">
              <w:rPr>
                <w:rFonts w:ascii="Times-New-Roman" w:hAnsi="Times-New-Roman" w:cs="Times-New-Roman"/>
              </w:rPr>
              <w:t xml:space="preserve">iritaciju kože (zec). </w:t>
            </w:r>
          </w:p>
          <w:p w:rsidR="003D12EC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obezbojenje kože kod čoveka.</w:t>
            </w:r>
          </w:p>
        </w:tc>
      </w:tr>
      <w:tr w:rsidR="005252C9" w:rsidTr="006B37E9">
        <w:trPr>
          <w:trHeight w:val="64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Prema kriterijumima klasifikacije Evropske Unije, za ovaj proizvod se ne smatra da izaziva iritaciju oka.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B37E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0943B1" w:rsidRDefault="000943B1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943B1" w:rsidRDefault="000943B1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Carophyll® Red 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06DC">
        <w:trPr>
          <w:trHeight w:val="50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1B1D2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B1D2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6B37E9">
        <w:trPr>
          <w:trHeight w:val="162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F44D19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C07A2E">
        <w:trPr>
          <w:trHeight w:val="69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dafnije i ostale vodene zglavkare (canthaxanthin):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Default="000943B1" w:rsidP="000943B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EC50 (48h) </w:t>
            </w: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17,9 mg/l (Daphnia magna) </w:t>
            </w:r>
          </w:p>
          <w:p w:rsidR="000943B1" w:rsidRDefault="000943B1" w:rsidP="000943B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(OECD Test Guid</w:t>
            </w:r>
            <w:r w:rsidR="00C07A2E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>line 202)</w:t>
            </w:r>
          </w:p>
        </w:tc>
      </w:tr>
      <w:tr w:rsidR="000943B1" w:rsidTr="00C07A2E">
        <w:trPr>
          <w:trHeight w:val="45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0943B1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odmah</w:t>
            </w:r>
            <w:r w:rsidR="000943B1">
              <w:rPr>
                <w:rFonts w:ascii="Times-New-Roman" w:hAnsi="Times-New-Roman" w:cs="Times-New-Roman"/>
                <w:lang w:val="de-DE"/>
              </w:rPr>
              <w:t xml:space="preserve"> biorazgradljiv.</w:t>
            </w:r>
          </w:p>
          <w:p w:rsidR="00C07A2E" w:rsidRPr="00A4469C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5% (28 dana) (OECD Test Guideline 301B)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106DC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7106DC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6B37E9">
        <w:trPr>
          <w:trHeight w:val="51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7106DC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1D22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7106D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C07A2E">
        <w:trPr>
          <w:trHeight w:val="78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C07A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Ponuditi ostatke i nereciklirajuće rastvore licenciranim firmama koje se bave odlaganjem otpada. </w:t>
            </w:r>
          </w:p>
        </w:tc>
      </w:tr>
      <w:tr w:rsidR="000943B1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167030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0943B1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0943B1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C07A2E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3B1" w:rsidRPr="00A4469C" w:rsidRDefault="000943B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</w:tbl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Carophyll® Red 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7106DC">
        <w:trPr>
          <w:trHeight w:val="7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14. PODACI O TRANSPORTU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EC Direktivama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C07A2E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C07A2E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  <w:r w:rsidR="0041337C"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6184E" w:rsidRDefault="00C07A2E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  <w:r w:rsidR="0041337C" w:rsidRPr="00E21BDC">
              <w:rPr>
                <w:rFonts w:ascii="Times New Roman" w:hAnsi="Times New Roman" w:cs="Times New Roman"/>
              </w:rPr>
              <w:t>.</w:t>
            </w:r>
            <w:r w:rsidR="0041337C">
              <w:rPr>
                <w:sz w:val="23"/>
                <w:szCs w:val="23"/>
              </w:rPr>
              <w:t xml:space="preserve"> </w:t>
            </w:r>
          </w:p>
        </w:tc>
      </w:tr>
      <w:tr w:rsidR="0041337C" w:rsidTr="001B1D22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337C" w:rsidRPr="00C57663" w:rsidRDefault="00C07A2E" w:rsidP="00074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Posebno označavanje određenih mešavina</w:t>
            </w:r>
            <w:r w:rsidR="00FE6D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C07A2E" w:rsidRPr="00C57663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Bezbednosni list je dostupan na zahtev za profesionalne korisnike.</w:t>
            </w:r>
          </w:p>
          <w:p w:rsidR="0041337C" w:rsidRPr="00C57663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Ethoxyquin</w:t>
            </w:r>
          </w:p>
        </w:tc>
      </w:tr>
      <w:tr w:rsidR="0041337C" w:rsidTr="0027286B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C07A2E" w:rsidRDefault="005F0560" w:rsidP="00C07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07A2E">
              <w:rPr>
                <w:rFonts w:ascii="Times New Roman" w:hAnsi="Times New Roman" w:cs="Times New Roman"/>
                <w:bCs/>
                <w:lang w:val="en-GB"/>
              </w:rPr>
              <w:t>R</w:t>
            </w:r>
            <w:r w:rsidR="00C07A2E" w:rsidRPr="00C07A2E">
              <w:rPr>
                <w:rFonts w:ascii="Times New Roman" w:hAnsi="Times New Roman" w:cs="Times New Roman"/>
                <w:bCs/>
                <w:lang w:val="en-GB"/>
              </w:rPr>
              <w:t>22</w:t>
            </w:r>
            <w:r w:rsidRPr="00C07A2E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 w:rsidR="00C07A2E" w:rsidRPr="00C07A2E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C07A2E" w:rsidRPr="00C07A2E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07A2E">
              <w:rPr>
                <w:rFonts w:ascii="Times New Roman" w:hAnsi="Times New Roman" w:cs="Times New Roman"/>
              </w:rPr>
              <w:t xml:space="preserve">R52- Štetno za vodene organizme. </w:t>
            </w:r>
          </w:p>
          <w:p w:rsidR="00C07A2E" w:rsidRPr="009621A5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7A2E">
              <w:rPr>
                <w:rFonts w:ascii="Times New Roman" w:hAnsi="Times New Roman" w:cs="Times New Roman"/>
              </w:rPr>
              <w:t>R53- Može izazvati dugotrajne štetne efekte u vodenoj životnoj sredini.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</w:tbl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Carophyll® Red 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BC22EF" w:rsidTr="007106DC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lastRenderedPageBreak/>
              <w:t>- Ostali podaci: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106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167030" w:rsidTr="00B23034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67030" w:rsidRDefault="00167030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F787D" w:rsidRDefault="009F787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Carophyll® Red 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6703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D3" w:rsidRDefault="00F42CD3" w:rsidP="005E0553">
      <w:pPr>
        <w:spacing w:after="0" w:line="240" w:lineRule="auto"/>
      </w:pPr>
      <w:r>
        <w:separator/>
      </w:r>
    </w:p>
  </w:endnote>
  <w:endnote w:type="continuationSeparator" w:id="0">
    <w:p w:rsidR="00F42CD3" w:rsidRDefault="00F42CD3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D3" w:rsidRDefault="00F42CD3" w:rsidP="005E0553">
      <w:pPr>
        <w:spacing w:after="0" w:line="240" w:lineRule="auto"/>
      </w:pPr>
      <w:r>
        <w:separator/>
      </w:r>
    </w:p>
  </w:footnote>
  <w:footnote w:type="continuationSeparator" w:id="0">
    <w:p w:rsidR="00F42CD3" w:rsidRDefault="00F42CD3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8F" w:rsidRDefault="00BE548F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48F" w:rsidRPr="00D23B93" w:rsidRDefault="00BE548F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7DCF"/>
    <w:rsid w:val="0007476B"/>
    <w:rsid w:val="00074FD9"/>
    <w:rsid w:val="00085431"/>
    <w:rsid w:val="000943B1"/>
    <w:rsid w:val="00096130"/>
    <w:rsid w:val="000A5818"/>
    <w:rsid w:val="000C2A0F"/>
    <w:rsid w:val="000E3E04"/>
    <w:rsid w:val="000F1483"/>
    <w:rsid w:val="000F2585"/>
    <w:rsid w:val="00117B76"/>
    <w:rsid w:val="0012537F"/>
    <w:rsid w:val="001273F5"/>
    <w:rsid w:val="0014265C"/>
    <w:rsid w:val="001472BC"/>
    <w:rsid w:val="00147F3F"/>
    <w:rsid w:val="00152071"/>
    <w:rsid w:val="00161F1C"/>
    <w:rsid w:val="00167030"/>
    <w:rsid w:val="00167471"/>
    <w:rsid w:val="001B1D22"/>
    <w:rsid w:val="001F4CB2"/>
    <w:rsid w:val="002052E7"/>
    <w:rsid w:val="00224839"/>
    <w:rsid w:val="00234156"/>
    <w:rsid w:val="00243877"/>
    <w:rsid w:val="00264501"/>
    <w:rsid w:val="00266788"/>
    <w:rsid w:val="0027286B"/>
    <w:rsid w:val="002739FC"/>
    <w:rsid w:val="002866E7"/>
    <w:rsid w:val="0028690C"/>
    <w:rsid w:val="002A36C3"/>
    <w:rsid w:val="002A7AAC"/>
    <w:rsid w:val="002B13B9"/>
    <w:rsid w:val="002C1ECB"/>
    <w:rsid w:val="002C21D4"/>
    <w:rsid w:val="002C36FB"/>
    <w:rsid w:val="002C7808"/>
    <w:rsid w:val="0032758A"/>
    <w:rsid w:val="00335A8D"/>
    <w:rsid w:val="00351689"/>
    <w:rsid w:val="00351E80"/>
    <w:rsid w:val="00356F05"/>
    <w:rsid w:val="0038518E"/>
    <w:rsid w:val="00394137"/>
    <w:rsid w:val="0039538E"/>
    <w:rsid w:val="003A662D"/>
    <w:rsid w:val="003B3B37"/>
    <w:rsid w:val="003D12EC"/>
    <w:rsid w:val="003F131A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4C7BA4"/>
    <w:rsid w:val="0050448B"/>
    <w:rsid w:val="00505DE2"/>
    <w:rsid w:val="005148B0"/>
    <w:rsid w:val="00524B27"/>
    <w:rsid w:val="005252C9"/>
    <w:rsid w:val="0053606A"/>
    <w:rsid w:val="00536A1D"/>
    <w:rsid w:val="005377C2"/>
    <w:rsid w:val="005979D5"/>
    <w:rsid w:val="005A212A"/>
    <w:rsid w:val="005B1B79"/>
    <w:rsid w:val="005B3CA4"/>
    <w:rsid w:val="005C1966"/>
    <w:rsid w:val="005D0B13"/>
    <w:rsid w:val="005E0553"/>
    <w:rsid w:val="005F0560"/>
    <w:rsid w:val="005F462A"/>
    <w:rsid w:val="005F6203"/>
    <w:rsid w:val="00607DA6"/>
    <w:rsid w:val="006164A0"/>
    <w:rsid w:val="00617AA1"/>
    <w:rsid w:val="006228A1"/>
    <w:rsid w:val="00624978"/>
    <w:rsid w:val="006351DF"/>
    <w:rsid w:val="0063635E"/>
    <w:rsid w:val="006558E6"/>
    <w:rsid w:val="006669A8"/>
    <w:rsid w:val="00667D80"/>
    <w:rsid w:val="0067694D"/>
    <w:rsid w:val="00676F94"/>
    <w:rsid w:val="006812B4"/>
    <w:rsid w:val="006A1DEE"/>
    <w:rsid w:val="006B37E9"/>
    <w:rsid w:val="006B5251"/>
    <w:rsid w:val="006C720B"/>
    <w:rsid w:val="006D1224"/>
    <w:rsid w:val="006E1D68"/>
    <w:rsid w:val="006E27B7"/>
    <w:rsid w:val="006E315F"/>
    <w:rsid w:val="006E68A5"/>
    <w:rsid w:val="006F2F8B"/>
    <w:rsid w:val="006F43A9"/>
    <w:rsid w:val="007041CD"/>
    <w:rsid w:val="007106DC"/>
    <w:rsid w:val="0071109E"/>
    <w:rsid w:val="007110B0"/>
    <w:rsid w:val="00714C28"/>
    <w:rsid w:val="0072765F"/>
    <w:rsid w:val="00737075"/>
    <w:rsid w:val="007518B9"/>
    <w:rsid w:val="007543CD"/>
    <w:rsid w:val="0078133E"/>
    <w:rsid w:val="00794AD3"/>
    <w:rsid w:val="00794C90"/>
    <w:rsid w:val="007D59BC"/>
    <w:rsid w:val="007D61B6"/>
    <w:rsid w:val="007E419C"/>
    <w:rsid w:val="007E53B6"/>
    <w:rsid w:val="007E59D4"/>
    <w:rsid w:val="00811949"/>
    <w:rsid w:val="00813673"/>
    <w:rsid w:val="008151FC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D3F85"/>
    <w:rsid w:val="008E49CB"/>
    <w:rsid w:val="00902FC3"/>
    <w:rsid w:val="00914E90"/>
    <w:rsid w:val="00917F6A"/>
    <w:rsid w:val="009309C6"/>
    <w:rsid w:val="009359FB"/>
    <w:rsid w:val="009422A7"/>
    <w:rsid w:val="009450F9"/>
    <w:rsid w:val="0095276B"/>
    <w:rsid w:val="00960B7C"/>
    <w:rsid w:val="009621A5"/>
    <w:rsid w:val="009634D6"/>
    <w:rsid w:val="00980C6D"/>
    <w:rsid w:val="00981B20"/>
    <w:rsid w:val="009A04C5"/>
    <w:rsid w:val="009C2AE5"/>
    <w:rsid w:val="009C50E8"/>
    <w:rsid w:val="009E0F73"/>
    <w:rsid w:val="009F787D"/>
    <w:rsid w:val="00A00327"/>
    <w:rsid w:val="00A123E5"/>
    <w:rsid w:val="00A15368"/>
    <w:rsid w:val="00A17F06"/>
    <w:rsid w:val="00A25630"/>
    <w:rsid w:val="00A3582C"/>
    <w:rsid w:val="00A35FBB"/>
    <w:rsid w:val="00A3622A"/>
    <w:rsid w:val="00A508F7"/>
    <w:rsid w:val="00A84B29"/>
    <w:rsid w:val="00AA2E14"/>
    <w:rsid w:val="00AA3358"/>
    <w:rsid w:val="00AB4E3D"/>
    <w:rsid w:val="00AC627F"/>
    <w:rsid w:val="00AD7EC8"/>
    <w:rsid w:val="00B12957"/>
    <w:rsid w:val="00B460EB"/>
    <w:rsid w:val="00B50CEA"/>
    <w:rsid w:val="00B60E28"/>
    <w:rsid w:val="00B924FE"/>
    <w:rsid w:val="00BA07AB"/>
    <w:rsid w:val="00BC048F"/>
    <w:rsid w:val="00BC22EF"/>
    <w:rsid w:val="00BD7869"/>
    <w:rsid w:val="00BE2459"/>
    <w:rsid w:val="00BE548F"/>
    <w:rsid w:val="00C00128"/>
    <w:rsid w:val="00C07A2E"/>
    <w:rsid w:val="00C13A78"/>
    <w:rsid w:val="00C2169A"/>
    <w:rsid w:val="00C27881"/>
    <w:rsid w:val="00C3539A"/>
    <w:rsid w:val="00C36C21"/>
    <w:rsid w:val="00C44762"/>
    <w:rsid w:val="00C464FB"/>
    <w:rsid w:val="00C54609"/>
    <w:rsid w:val="00C57663"/>
    <w:rsid w:val="00C656DC"/>
    <w:rsid w:val="00C72846"/>
    <w:rsid w:val="00C7566B"/>
    <w:rsid w:val="00C979C4"/>
    <w:rsid w:val="00CB3D0A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3308"/>
    <w:rsid w:val="00DC46A9"/>
    <w:rsid w:val="00DC4F00"/>
    <w:rsid w:val="00DE34B9"/>
    <w:rsid w:val="00DF5215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F3E95"/>
    <w:rsid w:val="00EF58BD"/>
    <w:rsid w:val="00F04722"/>
    <w:rsid w:val="00F103C0"/>
    <w:rsid w:val="00F21701"/>
    <w:rsid w:val="00F41802"/>
    <w:rsid w:val="00F42CD3"/>
    <w:rsid w:val="00F44D19"/>
    <w:rsid w:val="00F4586F"/>
    <w:rsid w:val="00F63302"/>
    <w:rsid w:val="00F65A6A"/>
    <w:rsid w:val="00F738F4"/>
    <w:rsid w:val="00F87B4D"/>
    <w:rsid w:val="00F92024"/>
    <w:rsid w:val="00FA3ED0"/>
    <w:rsid w:val="00FC3855"/>
    <w:rsid w:val="00FC4D1B"/>
    <w:rsid w:val="00FD39FE"/>
    <w:rsid w:val="00FD4FC3"/>
    <w:rsid w:val="00FD78B7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6CFD-0CD1-41A0-A715-033F07CA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21</cp:revision>
  <dcterms:created xsi:type="dcterms:W3CDTF">2012-12-05T09:08:00Z</dcterms:created>
  <dcterms:modified xsi:type="dcterms:W3CDTF">2013-01-25T13:32:00Z</dcterms:modified>
</cp:coreProperties>
</file>